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24" w:rsidRPr="00DD6919" w:rsidRDefault="00DD6919" w:rsidP="00DD6919">
      <w:pPr>
        <w:jc w:val="center"/>
        <w:rPr>
          <w:rFonts w:ascii="Garamond" w:hAnsi="Garamond"/>
          <w:b/>
          <w:color w:val="0070C0"/>
          <w:sz w:val="32"/>
          <w:szCs w:val="32"/>
        </w:rPr>
      </w:pPr>
      <w:r w:rsidRPr="00DD6919">
        <w:rPr>
          <w:rFonts w:ascii="Garamond" w:hAnsi="Garamond"/>
          <w:b/>
          <w:color w:val="0070C0"/>
          <w:sz w:val="32"/>
          <w:szCs w:val="32"/>
        </w:rPr>
        <w:t>Università-Impresa: casi di successo nel rapporto tra imprenditoria</w:t>
      </w:r>
      <w:r w:rsidR="007B7EEC">
        <w:rPr>
          <w:rFonts w:ascii="Garamond" w:hAnsi="Garamond"/>
          <w:b/>
          <w:color w:val="0070C0"/>
          <w:sz w:val="32"/>
          <w:szCs w:val="32"/>
        </w:rPr>
        <w:t xml:space="preserve"> </w:t>
      </w:r>
      <w:r w:rsidRPr="00DD6919">
        <w:rPr>
          <w:rFonts w:ascii="Garamond" w:hAnsi="Garamond"/>
          <w:b/>
          <w:color w:val="0070C0"/>
          <w:sz w:val="32"/>
          <w:szCs w:val="32"/>
        </w:rPr>
        <w:t xml:space="preserve">e sistema universitario </w:t>
      </w:r>
      <w:r w:rsidR="007B7EEC">
        <w:rPr>
          <w:rFonts w:ascii="Garamond" w:hAnsi="Garamond"/>
          <w:b/>
          <w:color w:val="0070C0"/>
          <w:sz w:val="32"/>
          <w:szCs w:val="32"/>
        </w:rPr>
        <w:t>ita</w:t>
      </w:r>
      <w:r w:rsidRPr="00DD6919">
        <w:rPr>
          <w:rFonts w:ascii="Garamond" w:hAnsi="Garamond"/>
          <w:b/>
          <w:color w:val="0070C0"/>
          <w:sz w:val="32"/>
          <w:szCs w:val="32"/>
        </w:rPr>
        <w:t>lia</w:t>
      </w:r>
      <w:r w:rsidR="007B7EEC">
        <w:rPr>
          <w:rFonts w:ascii="Garamond" w:hAnsi="Garamond"/>
          <w:b/>
          <w:color w:val="0070C0"/>
          <w:sz w:val="32"/>
          <w:szCs w:val="32"/>
        </w:rPr>
        <w:t>no</w:t>
      </w:r>
    </w:p>
    <w:p w:rsidR="00DD6919" w:rsidRDefault="00DD6919" w:rsidP="00DD6919">
      <w:pPr>
        <w:jc w:val="center"/>
        <w:rPr>
          <w:i/>
          <w:color w:val="000000" w:themeColor="text1"/>
          <w:sz w:val="24"/>
          <w:szCs w:val="24"/>
        </w:rPr>
      </w:pPr>
      <w:r w:rsidRPr="00DD6919">
        <w:rPr>
          <w:i/>
          <w:color w:val="000000" w:themeColor="text1"/>
          <w:sz w:val="24"/>
          <w:szCs w:val="24"/>
        </w:rPr>
        <w:t>Scheda di rilevazione a cura della Fondazione CRUI per una ricognizione delle esperienze di ateneo</w:t>
      </w: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E01F49" w:rsidRDefault="00E01F49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E01F49" w:rsidRDefault="00E01F49" w:rsidP="00DD6919">
      <w:pPr>
        <w:jc w:val="center"/>
        <w:rPr>
          <w:i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497"/>
      </w:tblGrid>
      <w:tr w:rsidR="00E01F49" w:rsidRPr="00E01F49" w:rsidTr="00E01F49">
        <w:trPr>
          <w:trHeight w:val="5118"/>
          <w:jc w:val="center"/>
        </w:trPr>
        <w:tc>
          <w:tcPr>
            <w:tcW w:w="8497" w:type="dxa"/>
            <w:shd w:val="clear" w:color="auto" w:fill="auto"/>
          </w:tcPr>
          <w:p w:rsidR="00E01F49" w:rsidRDefault="00E01F49" w:rsidP="00086159">
            <w:pPr>
              <w:jc w:val="center"/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</w:p>
          <w:p w:rsidR="00E01F49" w:rsidRDefault="00E01F49" w:rsidP="00086159">
            <w:pPr>
              <w:jc w:val="center"/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</w:p>
          <w:p w:rsidR="00E01F49" w:rsidRDefault="00E01F49" w:rsidP="00086159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I recenti apprezzamenti espressi dall’</w:t>
            </w:r>
            <w:r w:rsidRPr="00E01F49"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 xml:space="preserve">'IBAC (l'International Business </w:t>
            </w:r>
            <w:proofErr w:type="spellStart"/>
            <w:r w:rsidRPr="00E01F49"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Advisory</w:t>
            </w:r>
            <w:proofErr w:type="spellEnd"/>
            <w:r w:rsidRPr="00E01F49"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1F49"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Council</w:t>
            </w:r>
            <w:proofErr w:type="spellEnd"/>
            <w:r w:rsidRPr="00E01F49"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) nei riguardi del nostro Paese rimarcano le potenzialità che il sistema italiano è in grado di liberare quando valorizza appieno le proprie risorse.</w:t>
            </w:r>
          </w:p>
          <w:p w:rsidR="00E01F49" w:rsidRPr="00E01F49" w:rsidRDefault="00E01F49" w:rsidP="00086159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</w:p>
          <w:p w:rsidR="00E01F49" w:rsidRDefault="00E01F49" w:rsidP="00086159">
            <w:pPr>
              <w:jc w:val="center"/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  <w:r w:rsidRPr="00E01F49"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Ed è segnatamente nelle</w:t>
            </w:r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 xml:space="preserve"> collaborazioni Università – Impresa che meglio si concretizzano le occasioni di reciproco arricchimento di due tra i principali protagonisti della crescita e dell’innovazione del sistema socio-economico.</w:t>
            </w:r>
          </w:p>
          <w:p w:rsidR="00E01F49" w:rsidRPr="00E01F49" w:rsidRDefault="00E01F49" w:rsidP="00086159">
            <w:pPr>
              <w:jc w:val="center"/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</w:p>
          <w:p w:rsidR="00E01F49" w:rsidRDefault="00E01F49" w:rsidP="00086159">
            <w:pPr>
              <w:jc w:val="center"/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Al fine di tracciare una fotografia rappresentativa dello scenario italiano, di intensificare la capacità attrattiva del nostro sistema e promuovere così la possibilità di nuovi investimenti, la Fondazione CRUI intende condurre una ricognizione dei casi più rappresentativi in cui le relazioni tra Atenei e Imprese hanno dato luogo ad esperienze di successo.</w:t>
            </w:r>
          </w:p>
          <w:p w:rsidR="00E01F49" w:rsidRPr="00E01F49" w:rsidRDefault="00E01F49" w:rsidP="00086159">
            <w:pPr>
              <w:jc w:val="center"/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</w:p>
          <w:p w:rsidR="00E01F49" w:rsidRDefault="00E01F49" w:rsidP="00086159">
            <w:pPr>
              <w:jc w:val="center"/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 xml:space="preserve">Per questo, gli atenei italiani hanno l’opportunità, attraverso l’acclusa scheda, di descrivere con informazioni di taglio qualitativo casi concreti che diano prova, anche al vaglio del </w:t>
            </w:r>
            <w:proofErr w:type="spellStart"/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fact</w:t>
            </w:r>
            <w:proofErr w:type="spellEnd"/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checking</w:t>
            </w:r>
            <w:proofErr w:type="spellEnd"/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, della vitalità del sistema italiano.</w:t>
            </w:r>
          </w:p>
          <w:p w:rsidR="00E01F49" w:rsidRPr="00E01F49" w:rsidRDefault="00E01F49" w:rsidP="00086159">
            <w:pPr>
              <w:jc w:val="center"/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</w:p>
          <w:p w:rsidR="00E01F49" w:rsidRPr="00E01F49" w:rsidRDefault="00E01F49" w:rsidP="00AB2A28">
            <w:pPr>
              <w:jc w:val="center"/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</w:pPr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 xml:space="preserve">Si invitano pertanto gli Atenei alla compilazione della presente scheda, da restituire entro il </w:t>
            </w:r>
            <w:r w:rsidR="00AB2A28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31 marzo</w:t>
            </w:r>
            <w:bookmarkStart w:id="0" w:name="_GoBack"/>
            <w:bookmarkEnd w:id="0"/>
            <w:r w:rsidRPr="00E01F49">
              <w:rPr>
                <w:rStyle w:val="apple-converted-space"/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 xml:space="preserve"> all’indirizzo </w:t>
            </w:r>
            <w:hyperlink r:id="rId5" w:history="1">
              <w:r w:rsidRPr="00E01F49">
                <w:rPr>
                  <w:rStyle w:val="Collegamentoipertestuale"/>
                  <w:rFonts w:ascii="Arial" w:hAnsi="Arial" w:cs="Arial"/>
                  <w:sz w:val="20"/>
                  <w:szCs w:val="20"/>
                  <w:shd w:val="clear" w:color="auto" w:fill="FFFFFF"/>
                </w:rPr>
                <w:t>segreteria@crui.it</w:t>
              </w:r>
            </w:hyperlink>
          </w:p>
        </w:tc>
      </w:tr>
    </w:tbl>
    <w:p w:rsidR="007C603E" w:rsidRDefault="007C603E" w:rsidP="00DD6919">
      <w:pPr>
        <w:jc w:val="center"/>
        <w:rPr>
          <w:rStyle w:val="apple-converted-space"/>
          <w:rFonts w:ascii="Arial" w:hAnsi="Arial" w:cs="Arial"/>
          <w:color w:val="585858"/>
          <w:sz w:val="20"/>
          <w:szCs w:val="20"/>
          <w:shd w:val="clear" w:color="auto" w:fill="FFFFFF"/>
        </w:rPr>
      </w:pP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7B7EEC" w:rsidRDefault="007B7EEC" w:rsidP="00DD6919">
      <w:pPr>
        <w:jc w:val="center"/>
        <w:rPr>
          <w:i/>
          <w:color w:val="000000" w:themeColor="text1"/>
          <w:sz w:val="24"/>
          <w:szCs w:val="24"/>
        </w:rPr>
      </w:pPr>
    </w:p>
    <w:p w:rsidR="007C603E" w:rsidRDefault="007C603E" w:rsidP="00DD6919">
      <w:pPr>
        <w:jc w:val="center"/>
        <w:rPr>
          <w:i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Default="00DD6919" w:rsidP="00FF60C4">
            <w:r w:rsidRPr="00DD6919">
              <w:rPr>
                <w:rFonts w:eastAsia="Times New Roman"/>
              </w:rPr>
              <w:lastRenderedPageBreak/>
              <w:t>Denominazione del caso</w:t>
            </w:r>
          </w:p>
        </w:tc>
      </w:tr>
      <w:tr w:rsidR="00DD6919" w:rsidTr="00DD6919">
        <w:trPr>
          <w:trHeight w:val="563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FF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Descrizione generale del settore industriale (</w:t>
            </w:r>
            <w:proofErr w:type="spellStart"/>
            <w:r>
              <w:rPr>
                <w:rFonts w:eastAsia="Times New Roman"/>
              </w:rPr>
              <w:t>max</w:t>
            </w:r>
            <w:proofErr w:type="spellEnd"/>
            <w:r>
              <w:rPr>
                <w:rFonts w:eastAsia="Times New Roman"/>
              </w:rPr>
              <w:t xml:space="preserve"> 3.000 caratteri)</w:t>
            </w:r>
          </w:p>
        </w:tc>
      </w:tr>
      <w:tr w:rsidR="00DD6919" w:rsidTr="00DD6919">
        <w:trPr>
          <w:trHeight w:val="2688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Descrizione dell'impresa o del gruppo di imprese (</w:t>
            </w:r>
            <w:proofErr w:type="spellStart"/>
            <w:r>
              <w:rPr>
                <w:rFonts w:eastAsia="Times New Roman"/>
              </w:rPr>
              <w:t>max</w:t>
            </w:r>
            <w:proofErr w:type="spellEnd"/>
            <w:r>
              <w:rPr>
                <w:rFonts w:eastAsia="Times New Roman"/>
              </w:rPr>
              <w:t xml:space="preserve"> 5.000 caratteri)</w:t>
            </w:r>
          </w:p>
        </w:tc>
      </w:tr>
      <w:tr w:rsidR="00DD6919" w:rsidTr="005804CD">
        <w:trPr>
          <w:trHeight w:val="3808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Descrizione generale del caso, anche in termini diacronici, evidenziando ruolo dell'Università e vantaggi per impresa e università (max. 10.000 caratteri)</w:t>
            </w:r>
          </w:p>
        </w:tc>
      </w:tr>
      <w:tr w:rsidR="00DD6919" w:rsidTr="00DD6919">
        <w:trPr>
          <w:trHeight w:val="3984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Risorse messe a disposizione dall'Università o dalle Università del territorio e ritenute particolarmente utili dalle imprese</w:t>
            </w:r>
            <w:r>
              <w:rPr>
                <w:rFonts w:eastAsia="Times New Roman"/>
              </w:rPr>
              <w:br/>
              <w:t>(competenze, programmi formativi, dottorati, laboratori, network, servizi, stage, tirocini, ...)</w:t>
            </w:r>
          </w:p>
        </w:tc>
      </w:tr>
      <w:tr w:rsidR="00DD6919" w:rsidTr="005804CD">
        <w:trPr>
          <w:trHeight w:val="1301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Servizi o risorse del territorio che si sono rivelati particolarmente utili alla relazione (incentivi fiscali o finanziari, presenza di cluster o distretto, ruolo proattivo delle istituzioni locali, scuole o asili in lingua inglese, ...)</w:t>
            </w:r>
          </w:p>
        </w:tc>
      </w:tr>
      <w:tr w:rsidR="00DD6919" w:rsidTr="005804CD">
        <w:trPr>
          <w:trHeight w:val="1308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Strumenti tecnici utilizzati per la relazione Università-imprese (accordo di programma, convenzioni, ...)</w:t>
            </w:r>
          </w:p>
        </w:tc>
      </w:tr>
      <w:tr w:rsidR="00DD6919" w:rsidTr="005804CD">
        <w:trPr>
          <w:trHeight w:val="544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Attori chiave della relazione (imprenditori, manager, docenti, dirigenti universitari, personale amministrativo, procedure, ...)</w:t>
            </w:r>
          </w:p>
        </w:tc>
      </w:tr>
      <w:tr w:rsidR="00DD6919" w:rsidTr="005804CD">
        <w:trPr>
          <w:trHeight w:val="871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Fattori chiave della relazione (relazioni personali, network </w:t>
            </w:r>
            <w:proofErr w:type="spellStart"/>
            <w:r>
              <w:rPr>
                <w:rFonts w:eastAsia="Times New Roman"/>
              </w:rPr>
              <w:t>alumni</w:t>
            </w:r>
            <w:proofErr w:type="spellEnd"/>
            <w:r>
              <w:rPr>
                <w:rFonts w:eastAsia="Times New Roman"/>
              </w:rPr>
              <w:t>, fiducia ed esperienze consolidate, associazioni di categoria, stagisti, ...)</w:t>
            </w:r>
          </w:p>
        </w:tc>
      </w:tr>
      <w:tr w:rsidR="00DD6919" w:rsidTr="005804CD">
        <w:trPr>
          <w:trHeight w:val="991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Principali criticità emerse e modalità attraverso le quali sono state affrontate</w:t>
            </w:r>
          </w:p>
        </w:tc>
      </w:tr>
      <w:tr w:rsidR="00DD6919" w:rsidTr="005804CD">
        <w:trPr>
          <w:trHeight w:val="867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Principali risultati conseguiti dall'impresa</w:t>
            </w:r>
          </w:p>
        </w:tc>
      </w:tr>
      <w:tr w:rsidR="00DD6919" w:rsidTr="005804CD">
        <w:trPr>
          <w:trHeight w:val="829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Principali risultati conseguiti dall'università </w:t>
            </w:r>
          </w:p>
        </w:tc>
      </w:tr>
      <w:tr w:rsidR="00DD6919" w:rsidTr="005804CD">
        <w:trPr>
          <w:trHeight w:val="705"/>
        </w:trPr>
        <w:tc>
          <w:tcPr>
            <w:tcW w:w="9778" w:type="dxa"/>
          </w:tcPr>
          <w:p w:rsidR="00DD6919" w:rsidRPr="00DD6919" w:rsidRDefault="00DD6919" w:rsidP="00FF60C4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P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Principali suggerimenti per rendere attrattivo o ulteriormente attrattivo il rapporto università-imprese </w:t>
            </w:r>
          </w:p>
        </w:tc>
      </w:tr>
      <w:tr w:rsidR="00DD6919" w:rsidTr="005804CD">
        <w:trPr>
          <w:trHeight w:val="692"/>
        </w:trPr>
        <w:tc>
          <w:tcPr>
            <w:tcW w:w="9778" w:type="dxa"/>
          </w:tcPr>
          <w:p w:rsidR="00DD6919" w:rsidRDefault="00DD6919" w:rsidP="00DD6919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Ufficio (e persona) di riferimento per la relazione  in oggetto</w:t>
            </w:r>
          </w:p>
        </w:tc>
      </w:tr>
      <w:tr w:rsidR="00DD6919" w:rsidTr="005804CD">
        <w:trPr>
          <w:trHeight w:val="434"/>
        </w:trPr>
        <w:tc>
          <w:tcPr>
            <w:tcW w:w="9778" w:type="dxa"/>
          </w:tcPr>
          <w:p w:rsidR="00DD6919" w:rsidRDefault="00DD6919" w:rsidP="00DD6919">
            <w:pPr>
              <w:rPr>
                <w:rFonts w:eastAsia="Times New Roman"/>
              </w:rPr>
            </w:pPr>
          </w:p>
        </w:tc>
      </w:tr>
      <w:tr w:rsidR="00DD6919" w:rsidTr="00DD6919">
        <w:tc>
          <w:tcPr>
            <w:tcW w:w="9778" w:type="dxa"/>
            <w:shd w:val="clear" w:color="auto" w:fill="D9D9D9" w:themeFill="background1" w:themeFillShade="D9"/>
          </w:tcPr>
          <w:p w:rsidR="00DD6919" w:rsidRDefault="00DD6919" w:rsidP="00DD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Persona di riferimento per approfondire eventualmente il caso</w:t>
            </w:r>
          </w:p>
        </w:tc>
      </w:tr>
      <w:tr w:rsidR="00DD6919" w:rsidTr="005804CD">
        <w:trPr>
          <w:trHeight w:val="442"/>
        </w:trPr>
        <w:tc>
          <w:tcPr>
            <w:tcW w:w="9778" w:type="dxa"/>
          </w:tcPr>
          <w:p w:rsidR="00DD6919" w:rsidRDefault="00DD6919" w:rsidP="00DD6919">
            <w:pPr>
              <w:rPr>
                <w:rFonts w:eastAsia="Times New Roman"/>
              </w:rPr>
            </w:pPr>
          </w:p>
        </w:tc>
      </w:tr>
    </w:tbl>
    <w:p w:rsidR="00DD6919" w:rsidRDefault="00DD6919"/>
    <w:sectPr w:rsidR="00DD6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19"/>
    <w:rsid w:val="00012B74"/>
    <w:rsid w:val="00037A56"/>
    <w:rsid w:val="000B4E42"/>
    <w:rsid w:val="00135A72"/>
    <w:rsid w:val="001F107B"/>
    <w:rsid w:val="004439DD"/>
    <w:rsid w:val="005804CD"/>
    <w:rsid w:val="006B4C8B"/>
    <w:rsid w:val="007B7EEC"/>
    <w:rsid w:val="007C603E"/>
    <w:rsid w:val="007D05BF"/>
    <w:rsid w:val="00AB2A28"/>
    <w:rsid w:val="00BD21AD"/>
    <w:rsid w:val="00DB5936"/>
    <w:rsid w:val="00DD6919"/>
    <w:rsid w:val="00E01F49"/>
    <w:rsid w:val="00E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7B7EEC"/>
  </w:style>
  <w:style w:type="character" w:styleId="Collegamentoipertestuale">
    <w:name w:val="Hyperlink"/>
    <w:basedOn w:val="Carpredefinitoparagrafo"/>
    <w:uiPriority w:val="99"/>
    <w:unhideWhenUsed/>
    <w:rsid w:val="007C60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7B7EEC"/>
  </w:style>
  <w:style w:type="character" w:styleId="Collegamentoipertestuale">
    <w:name w:val="Hyperlink"/>
    <w:basedOn w:val="Carpredefinitoparagrafo"/>
    <w:uiPriority w:val="99"/>
    <w:unhideWhenUsed/>
    <w:rsid w:val="007C60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cru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Carfagna</dc:creator>
  <cp:lastModifiedBy>Massimo Carfagna</cp:lastModifiedBy>
  <cp:revision>8</cp:revision>
  <cp:lastPrinted>2014-01-23T08:07:00Z</cp:lastPrinted>
  <dcterms:created xsi:type="dcterms:W3CDTF">2014-01-22T11:40:00Z</dcterms:created>
  <dcterms:modified xsi:type="dcterms:W3CDTF">2014-03-17T10:05:00Z</dcterms:modified>
</cp:coreProperties>
</file>